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3DC97" w14:textId="77777777" w:rsidR="003C7C51" w:rsidRDefault="003C7C51" w:rsidP="003C7C51">
      <w:pPr>
        <w:pStyle w:val="Ttulo2"/>
        <w:spacing w:before="120" w:after="120" w:line="240" w:lineRule="exact"/>
        <w:rPr>
          <w:rFonts w:ascii="Calibri" w:eastAsia="SimSun" w:hAnsi="Calibri" w:cs="Calibri"/>
          <w:kern w:val="36"/>
          <w:sz w:val="22"/>
          <w:szCs w:val="22"/>
        </w:rPr>
      </w:pPr>
      <w:r>
        <w:rPr>
          <w:rFonts w:ascii="Calibri" w:eastAsia="SimSun" w:hAnsi="Calibri" w:cs="Calibri"/>
          <w:kern w:val="36"/>
          <w:sz w:val="22"/>
          <w:szCs w:val="22"/>
        </w:rPr>
        <w:t>3.3 Data sources</w:t>
      </w:r>
    </w:p>
    <w:p w14:paraId="16827FCC" w14:textId="77777777" w:rsidR="003C7C51" w:rsidRDefault="003C7C51" w:rsidP="003C7C51">
      <w:pPr>
        <w:spacing w:before="120" w:after="120" w:line="240" w:lineRule="exact"/>
        <w:rPr>
          <w:rFonts w:ascii="Calibri" w:hAnsi="Calibri" w:cs="Calibri"/>
          <w:sz w:val="22"/>
        </w:rPr>
      </w:pPr>
      <w:r>
        <w:rPr>
          <w:rFonts w:ascii="Calibri" w:hAnsi="Calibri" w:cs="Calibri"/>
          <w:sz w:val="22"/>
        </w:rPr>
        <w:t xml:space="preserve">The permanent population, GDP, industrial added value, industrial energy consumption, and output of industrial products in </w:t>
      </w:r>
      <w:r>
        <w:rPr>
          <w:rFonts w:ascii="Calibri" w:eastAsia="DengXian" w:hAnsi="Calibri" w:cs="Calibri"/>
          <w:sz w:val="22"/>
        </w:rPr>
        <w:t xml:space="preserve">the PRD cities </w:t>
      </w:r>
      <w:r>
        <w:rPr>
          <w:rFonts w:ascii="Calibri" w:hAnsi="Calibri" w:cs="Calibri" w:hint="eastAsia"/>
          <w:sz w:val="22"/>
        </w:rPr>
        <w:t>in</w:t>
      </w:r>
      <w:r>
        <w:rPr>
          <w:rFonts w:ascii="Calibri" w:hAnsi="Calibri" w:cs="Calibri"/>
          <w:sz w:val="22"/>
        </w:rPr>
        <w:t xml:space="preserve"> the period to 2000-2019 were derived from the statistical yearbooks of these cities. </w:t>
      </w:r>
      <w:r>
        <w:rPr>
          <w:rFonts w:ascii="Calibri" w:hAnsi="Calibri" w:cs="Calibri"/>
          <w:color w:val="4472C4" w:themeColor="accent1"/>
          <w:sz w:val="22"/>
        </w:rPr>
        <w:t>The lack of energy consumption data in PRD cities was derived from the provincial energy consumption data of the year or the energy consumption data of the city in the adjacent years converted by the share of each industry’s value added and the population.</w:t>
      </w:r>
      <w:r>
        <w:rPr>
          <w:rFonts w:ascii="Calibri" w:hAnsi="Calibri" w:cs="Calibri" w:hint="eastAsia"/>
          <w:color w:val="4472C4" w:themeColor="accent1"/>
          <w:sz w:val="22"/>
        </w:rPr>
        <w:t xml:space="preserve"> </w:t>
      </w:r>
      <w:r>
        <w:rPr>
          <w:rFonts w:ascii="Calibri" w:eastAsia="SimSun" w:hAnsi="Calibri" w:cs="Calibri"/>
          <w:color w:val="4472C4" w:themeColor="accent1"/>
          <w:sz w:val="22"/>
          <w:lang w:val="en-GB"/>
        </w:rPr>
        <w:t xml:space="preserve">Energy consumption and carbon emissions in Hong Kong by sector were allocated based on equal shares of GDP. </w:t>
      </w:r>
      <w:r>
        <w:rPr>
          <w:rFonts w:ascii="Calibri" w:hAnsi="Calibri" w:cs="Calibri"/>
          <w:sz w:val="22"/>
        </w:rPr>
        <w:t>GDP was converted into a constant price based on 2010</w:t>
      </w:r>
      <w:r>
        <w:rPr>
          <w:rFonts w:ascii="Calibri" w:eastAsia="DengXian" w:hAnsi="Calibri" w:cs="Calibri"/>
          <w:sz w:val="22"/>
        </w:rPr>
        <w:t xml:space="preserve"> data, thereby eliminating the influence of price factors. The permanent population and GDP of Hong Kong and Macau from 2000 </w:t>
      </w:r>
      <w:r>
        <w:rPr>
          <w:rFonts w:ascii="Calibri" w:hAnsi="Calibri" w:cs="Calibri"/>
          <w:sz w:val="22"/>
        </w:rPr>
        <w:t xml:space="preserve">to 2019 were sourced from the Hong Kong Census and Statistics Department and </w:t>
      </w:r>
      <w:r>
        <w:rPr>
          <w:rFonts w:ascii="Calibri" w:eastAsia="DengXian" w:hAnsi="Calibri" w:cs="Calibri"/>
          <w:sz w:val="22"/>
        </w:rPr>
        <w:t>the Macau Statistics and Census Bureau. The CO</w:t>
      </w:r>
      <w:r>
        <w:rPr>
          <w:rFonts w:ascii="Calibri" w:hAnsi="Calibri" w:cs="Calibri"/>
          <w:sz w:val="22"/>
          <w:vertAlign w:val="subscript"/>
        </w:rPr>
        <w:t>2</w:t>
      </w:r>
      <w:r>
        <w:rPr>
          <w:rFonts w:ascii="Calibri" w:hAnsi="Calibri" w:cs="Calibri"/>
          <w:sz w:val="22"/>
        </w:rPr>
        <w:t xml:space="preserve"> emissions data for Hong Kong and Macau were sourced from the International Energy Agency (IEA) and Emissions Database for Global Atmospheric Research (EDGAR). The CO</w:t>
      </w:r>
      <w:r>
        <w:rPr>
          <w:rFonts w:ascii="Calibri" w:hAnsi="Calibri" w:cs="Calibri"/>
          <w:sz w:val="22"/>
          <w:vertAlign w:val="subscript"/>
        </w:rPr>
        <w:t>2</w:t>
      </w:r>
      <w:r>
        <w:rPr>
          <w:rFonts w:ascii="Calibri" w:hAnsi="Calibri" w:cs="Calibri"/>
          <w:sz w:val="22"/>
        </w:rPr>
        <w:t xml:space="preserve"> emission inventory of cities in the GBA was updated based on our previous studies </w:t>
      </w:r>
      <w:r>
        <w:rPr>
          <w:rFonts w:ascii="Calibri" w:hAnsi="Calibri" w:cs="Calibri"/>
          <w:sz w:val="22"/>
        </w:rPr>
        <w:fldChar w:fldCharType="begin"/>
      </w:r>
      <w:r>
        <w:rPr>
          <w:rFonts w:ascii="Calibri" w:hAnsi="Calibri" w:cs="Calibri"/>
          <w:sz w:val="22"/>
        </w:rPr>
        <w:instrText xml:space="preserve"> ADDIN EN.CITE &lt;EndNote&gt;&lt;Cite&gt;&lt;Author&gt;Zhou&lt;/Author&gt;&lt;Year&gt;2018&lt;/Year&gt;&lt;RecNum&gt;19&lt;/RecNum&gt;&lt;DisplayText&gt;(Zhou et al. 2018)&lt;/DisplayText&gt;&lt;record&gt;&lt;rec-number&gt;19&lt;/rec-number&gt;&lt;foreign-keys&gt;&lt;key app="EN" db-id="0x0d0txfgwx2eoeet5t5ptp1zeaewfd9a5pr" timestamp="1627540147"&gt;19&lt;/key&gt;&lt;/foreign-keys&gt;&lt;ref-type name="Journal Article"&gt;17&lt;/ref-type&gt;&lt;contributors&gt;&lt;authors&gt;&lt;author&gt;Zhou, Ya&lt;/author&gt;&lt;author&gt;Shan, Yuli&lt;/author&gt;&lt;author&gt;Liu, Guosheng&lt;/author&gt;&lt;author&gt;Guan, Dabo&lt;/author&gt;&lt;/authors&gt;&lt;/contributors&gt;&lt;titles&gt;&lt;title&gt;Emissions and low-carbon development in Guangdong-Hong Kong-Macao Greater Bay Area cities and their surroundings&lt;/title&gt;&lt;secondary-title&gt;Applied Energy&lt;/secondary-title&gt;&lt;/titles&gt;&lt;periodical&gt;&lt;full-title&gt;Applied Energy&lt;/full-title&gt;&lt;abbr-1&gt;Appl. Energy&lt;/abbr-1&gt;&lt;/periodical&gt;&lt;pages&gt;1683-1692&lt;/pages&gt;&lt;volume&gt;228&lt;/volume&gt;&lt;keywords&gt;&lt;keyword&gt;Guangdong-Hong Kong-Macao Greater Bay Area&lt;/keyword&gt;&lt;keyword&gt;Belt and Road Initiative&lt;/keyword&gt;&lt;keyword&gt;CO emissions&lt;/keyword&gt;&lt;keyword&gt;Low-carbon development pathways&lt;/keyword&gt;&lt;keyword&gt;Urban agglomeration&lt;/keyword&gt;&lt;/keywords&gt;&lt;dates&gt;&lt;year&gt;2018&lt;/year&gt;&lt;pub-dates&gt;&lt;date&gt;2018/10/15/&lt;/date&gt;&lt;/pub-dates&gt;&lt;/dates&gt;&lt;isbn&gt;0306-2619&lt;/isbn&gt;&lt;urls&gt;&lt;related-urls&gt;&lt;url&gt;http://www.sciencedirect.com/science/article/pii/S0306261918310675&lt;/url&gt;&lt;/related-urls&gt;&lt;/urls&gt;&lt;electronic-resource-num&gt;https://doi.org/10.1016/j.apenergy.2018.07.038&lt;/electronic-resource-num&gt;&lt;/record&gt;&lt;/Cite&gt;&lt;/EndNote&gt;</w:instrText>
      </w:r>
      <w:r>
        <w:rPr>
          <w:rFonts w:ascii="Calibri" w:hAnsi="Calibri" w:cs="Calibri"/>
          <w:sz w:val="22"/>
        </w:rPr>
        <w:fldChar w:fldCharType="separate"/>
      </w:r>
      <w:r>
        <w:rPr>
          <w:rFonts w:ascii="Calibri" w:hAnsi="Calibri" w:cs="Calibri"/>
          <w:sz w:val="22"/>
        </w:rPr>
        <w:t>(Zhou et al. 2018)</w:t>
      </w:r>
      <w:r>
        <w:rPr>
          <w:rFonts w:ascii="Calibri" w:hAnsi="Calibri" w:cs="Calibri"/>
          <w:sz w:val="22"/>
        </w:rPr>
        <w:fldChar w:fldCharType="end"/>
      </w:r>
      <w:r>
        <w:rPr>
          <w:rFonts w:ascii="Calibri" w:hAnsi="Calibri" w:cs="Calibri"/>
          <w:sz w:val="22"/>
        </w:rPr>
        <w:t>, which can be downloaded for free from the CEAD website (http://www.ceads.net/).</w:t>
      </w:r>
    </w:p>
    <w:p w14:paraId="028CFDE0" w14:textId="77777777" w:rsidR="004A5309" w:rsidRPr="004A5309" w:rsidRDefault="004A5309" w:rsidP="004A5309">
      <w:pPr>
        <w:pStyle w:val="Ttulo2"/>
        <w:spacing w:before="0" w:after="0"/>
        <w:rPr>
          <w:rFonts w:ascii="Calibri" w:hAnsi="Calibri" w:cs="Calibri"/>
          <w:sz w:val="22"/>
          <w:szCs w:val="22"/>
        </w:rPr>
      </w:pPr>
      <w:bookmarkStart w:id="0" w:name="_Hlk91431814"/>
      <w:r w:rsidRPr="004A5309">
        <w:rPr>
          <w:rFonts w:ascii="Calibri" w:hAnsi="Calibri" w:cs="Calibri"/>
          <w:sz w:val="22"/>
          <w:szCs w:val="22"/>
        </w:rPr>
        <w:t>Different risk groups exhibited distinct TIICs and clinicopathological features</w:t>
      </w:r>
    </w:p>
    <w:bookmarkEnd w:id="0"/>
    <w:p w14:paraId="75F434E4" w14:textId="77777777" w:rsidR="004A5309" w:rsidRPr="00DA5427" w:rsidRDefault="004A5309" w:rsidP="004A5309">
      <w:pPr>
        <w:spacing w:line="240" w:lineRule="exact"/>
        <w:rPr>
          <w:rFonts w:cs="Times New Roman"/>
          <w:szCs w:val="24"/>
        </w:rPr>
      </w:pPr>
      <w:r w:rsidRPr="00DA5427">
        <w:rPr>
          <w:rFonts w:cs="Times New Roman"/>
          <w:szCs w:val="24"/>
        </w:rPr>
        <w:t>Furthermore, to determine whether the four novel PRL signatures were related to tumor immunity, we next estimated the relationship between the different risk groups and normal tissues and the 22 types of TIICs in STAD using the CIBERSORT algorithm</w:t>
      </w:r>
      <w:r>
        <w:rPr>
          <w:rFonts w:cs="Times New Roman"/>
          <w:szCs w:val="24"/>
        </w:rPr>
        <w:t xml:space="preserve"> </w:t>
      </w:r>
      <w:r w:rsidRPr="00DA5427">
        <w:rPr>
          <w:rFonts w:cs="Times New Roman"/>
          <w:szCs w:val="24"/>
        </w:rPr>
        <w:t>(</w:t>
      </w:r>
      <w:r w:rsidRPr="00DA5427">
        <w:rPr>
          <w:rFonts w:cs="Times New Roman"/>
          <w:b/>
          <w:bCs/>
          <w:szCs w:val="24"/>
        </w:rPr>
        <w:t>Figure 7C</w:t>
      </w:r>
      <w:r w:rsidRPr="00DA5427">
        <w:rPr>
          <w:rFonts w:cs="Times New Roman"/>
          <w:szCs w:val="24"/>
        </w:rPr>
        <w:t>). The low-risk groups contained more M1 macrophages (</w:t>
      </w:r>
      <w:r>
        <w:rPr>
          <w:rFonts w:cs="Times New Roman"/>
          <w:szCs w:val="24"/>
        </w:rPr>
        <w:t xml:space="preserve">P </w:t>
      </w:r>
      <w:r w:rsidRPr="00DA5427">
        <w:rPr>
          <w:rFonts w:cs="Times New Roman"/>
          <w:szCs w:val="24"/>
        </w:rPr>
        <w:t>&lt; 0.05),</w:t>
      </w:r>
      <w:r>
        <w:rPr>
          <w:rFonts w:cs="Times New Roman"/>
          <w:szCs w:val="24"/>
        </w:rPr>
        <w:t xml:space="preserve"> </w:t>
      </w:r>
      <w:r w:rsidRPr="00DA5427">
        <w:rPr>
          <w:rFonts w:cs="Times New Roman"/>
          <w:szCs w:val="24"/>
        </w:rPr>
        <w:t>resting NK cells</w:t>
      </w:r>
      <w:r>
        <w:rPr>
          <w:rFonts w:cs="Times New Roman"/>
          <w:szCs w:val="24"/>
        </w:rPr>
        <w:t xml:space="preserve"> </w:t>
      </w:r>
      <w:r w:rsidRPr="00DA5427">
        <w:rPr>
          <w:rFonts w:cs="Times New Roman"/>
          <w:szCs w:val="24"/>
        </w:rPr>
        <w:t>(</w:t>
      </w:r>
      <w:r>
        <w:rPr>
          <w:rFonts w:cs="Times New Roman"/>
          <w:szCs w:val="24"/>
        </w:rPr>
        <w:t xml:space="preserve">P </w:t>
      </w:r>
      <w:r w:rsidRPr="00DA5427">
        <w:rPr>
          <w:rFonts w:cs="Times New Roman"/>
          <w:szCs w:val="24"/>
        </w:rPr>
        <w:t>&lt; 0.01), resting memory CD4(+) T cells (p &lt; 0.01), and follicular helper T cells</w:t>
      </w:r>
      <w:r>
        <w:rPr>
          <w:rFonts w:cs="Times New Roman"/>
          <w:szCs w:val="24"/>
        </w:rPr>
        <w:t xml:space="preserve"> </w:t>
      </w:r>
      <w:r w:rsidRPr="00DA5427">
        <w:rPr>
          <w:rFonts w:cs="Times New Roman"/>
          <w:szCs w:val="24"/>
        </w:rPr>
        <w:t>(</w:t>
      </w:r>
      <w:r>
        <w:rPr>
          <w:rFonts w:cs="Times New Roman"/>
          <w:szCs w:val="24"/>
        </w:rPr>
        <w:t>P</w:t>
      </w:r>
      <w:r w:rsidRPr="00DA5427">
        <w:rPr>
          <w:rFonts w:cs="Times New Roman"/>
          <w:szCs w:val="24"/>
        </w:rPr>
        <w:t xml:space="preserve"> &lt; 0.01), thus conferring a significant survival advantage.  In contrast, the high-risk group had more monocytes (</w:t>
      </w:r>
      <w:r>
        <w:rPr>
          <w:rFonts w:cs="Times New Roman"/>
          <w:szCs w:val="24"/>
        </w:rPr>
        <w:t>P</w:t>
      </w:r>
      <w:r w:rsidRPr="00DA5427" w:rsidDel="004A2401">
        <w:rPr>
          <w:rFonts w:cs="Times New Roman"/>
          <w:szCs w:val="24"/>
        </w:rPr>
        <w:t xml:space="preserve"> </w:t>
      </w:r>
      <w:r w:rsidRPr="00DA5427">
        <w:rPr>
          <w:rFonts w:cs="Times New Roman"/>
          <w:szCs w:val="24"/>
        </w:rPr>
        <w:t>&lt; 0.01), M2 macrophages (</w:t>
      </w:r>
      <w:r>
        <w:rPr>
          <w:rFonts w:cs="Times New Roman"/>
          <w:szCs w:val="24"/>
        </w:rPr>
        <w:t>P</w:t>
      </w:r>
      <w:r w:rsidRPr="00DA5427" w:rsidDel="004A2401">
        <w:rPr>
          <w:rFonts w:cs="Times New Roman"/>
          <w:szCs w:val="24"/>
        </w:rPr>
        <w:t xml:space="preserve"> </w:t>
      </w:r>
      <w:r w:rsidRPr="00DA5427">
        <w:rPr>
          <w:rFonts w:cs="Times New Roman"/>
          <w:szCs w:val="24"/>
        </w:rPr>
        <w:t>&lt; 0.05), resting dendritic cells (DC) (</w:t>
      </w:r>
      <w:r>
        <w:rPr>
          <w:rFonts w:cs="Times New Roman"/>
          <w:szCs w:val="24"/>
        </w:rPr>
        <w:t>P</w:t>
      </w:r>
      <w:r w:rsidRPr="00DA5427" w:rsidDel="004A2401">
        <w:rPr>
          <w:rFonts w:cs="Times New Roman"/>
          <w:szCs w:val="24"/>
        </w:rPr>
        <w:t xml:space="preserve"> </w:t>
      </w:r>
      <w:r w:rsidRPr="00DA5427">
        <w:rPr>
          <w:rFonts w:cs="Times New Roman"/>
          <w:szCs w:val="24"/>
        </w:rPr>
        <w:t>&lt; 0.001)</w:t>
      </w:r>
      <w:r>
        <w:rPr>
          <w:rFonts w:eastAsia="DengXian" w:cs="Times New Roman"/>
          <w:szCs w:val="24"/>
        </w:rPr>
        <w:t>, and resting mast cells (</w:t>
      </w:r>
      <w:r>
        <w:rPr>
          <w:rFonts w:cs="Times New Roman"/>
          <w:szCs w:val="24"/>
        </w:rPr>
        <w:t>P</w:t>
      </w:r>
      <w:r w:rsidDel="004A2401">
        <w:rPr>
          <w:rFonts w:eastAsia="DengXian" w:cs="Times New Roman"/>
          <w:szCs w:val="24"/>
        </w:rPr>
        <w:t xml:space="preserve"> </w:t>
      </w:r>
      <w:r>
        <w:rPr>
          <w:rFonts w:eastAsia="DengXian" w:cs="Times New Roman"/>
          <w:szCs w:val="24"/>
        </w:rPr>
        <w:t>&lt; 0.05) (</w:t>
      </w:r>
      <w:r w:rsidRPr="00DA5427">
        <w:rPr>
          <w:rFonts w:cs="Times New Roman"/>
          <w:b/>
          <w:bCs/>
          <w:szCs w:val="24"/>
        </w:rPr>
        <w:t>Figure 7D</w:t>
      </w:r>
      <w:r w:rsidRPr="00DA5427">
        <w:rPr>
          <w:rFonts w:cs="Times New Roman"/>
          <w:szCs w:val="24"/>
        </w:rPr>
        <w:t>).</w:t>
      </w:r>
    </w:p>
    <w:p w14:paraId="4FB1DB10" w14:textId="2E1A864E" w:rsidR="00B31F2C" w:rsidRDefault="00B31F2C" w:rsidP="003C7C51"/>
    <w:p w14:paraId="4A9F2152" w14:textId="55CE2F76" w:rsidR="007D0655" w:rsidRDefault="007D0655" w:rsidP="003C7C51"/>
    <w:p w14:paraId="2D36A7D1" w14:textId="77777777" w:rsidR="00E86309" w:rsidRDefault="00E86309" w:rsidP="003C7C51">
      <w:pPr>
        <w:rPr>
          <w:b/>
          <w:bCs/>
        </w:rPr>
      </w:pPr>
      <w:r>
        <w:rPr>
          <w:b/>
          <w:bCs/>
        </w:rPr>
        <w:br w:type="page"/>
      </w:r>
    </w:p>
    <w:p w14:paraId="420BE790" w14:textId="4A661832" w:rsidR="00A8525D" w:rsidRDefault="00A8525D" w:rsidP="003C7C51">
      <w:pPr>
        <w:rPr>
          <w:b/>
          <w:bCs/>
        </w:rPr>
      </w:pPr>
      <w:r>
        <w:rPr>
          <w:b/>
          <w:bCs/>
        </w:rPr>
        <w:lastRenderedPageBreak/>
        <w:t>Research resources</w:t>
      </w:r>
    </w:p>
    <w:p w14:paraId="27567410" w14:textId="77777777" w:rsidR="00A8525D" w:rsidRDefault="00A8525D" w:rsidP="003C7C51">
      <w:pPr>
        <w:rPr>
          <w:b/>
          <w:bCs/>
        </w:rPr>
      </w:pPr>
    </w:p>
    <w:p w14:paraId="61FFB88D" w14:textId="49BB0909" w:rsidR="007D0655" w:rsidRPr="0023614D" w:rsidRDefault="0023614D" w:rsidP="003C7C51">
      <w:pPr>
        <w:rPr>
          <w:b/>
          <w:bCs/>
        </w:rPr>
      </w:pPr>
      <w:r>
        <w:rPr>
          <w:b/>
          <w:bCs/>
        </w:rPr>
        <w:t xml:space="preserve">1. </w:t>
      </w:r>
      <w:r w:rsidR="007D0655" w:rsidRPr="0023614D">
        <w:rPr>
          <w:b/>
          <w:bCs/>
        </w:rPr>
        <w:t>Google Books</w:t>
      </w:r>
    </w:p>
    <w:p w14:paraId="159B1726" w14:textId="79D3C67F" w:rsidR="007D0655" w:rsidRDefault="007D0655" w:rsidP="003C7C51">
      <w:pPr>
        <w:rPr>
          <w:u w:val="single"/>
        </w:rPr>
      </w:pPr>
    </w:p>
    <w:p w14:paraId="4C72F118" w14:textId="7999B5CA" w:rsidR="007D0655" w:rsidRDefault="007D0655" w:rsidP="003C7C51">
      <w:pPr>
        <w:rPr>
          <w:u w:val="single"/>
        </w:rPr>
      </w:pPr>
      <w:r>
        <w:rPr>
          <w:u w:val="single"/>
        </w:rPr>
        <w:t>definition</w:t>
      </w:r>
    </w:p>
    <w:p w14:paraId="18DFFC3F" w14:textId="171EC1D8" w:rsidR="007D0655" w:rsidRPr="007D0655" w:rsidRDefault="007D0655" w:rsidP="003C7C51">
      <w:r w:rsidRPr="007D0655">
        <w:t>“definition [term]”</w:t>
      </w:r>
    </w:p>
    <w:p w14:paraId="6DFA41C6" w14:textId="494716D3" w:rsidR="007D0655" w:rsidRDefault="007D0655" w:rsidP="003C7C51">
      <w:r>
        <w:t>3 definitions – shows wide reading</w:t>
      </w:r>
    </w:p>
    <w:p w14:paraId="47437E95" w14:textId="06DE7A8A" w:rsidR="007D0655" w:rsidRDefault="007D0655" w:rsidP="007D0655">
      <w:r>
        <w:t>chooses one – displays critical thinking, giving a reason for their  choice</w:t>
      </w:r>
    </w:p>
    <w:p w14:paraId="243A1673" w14:textId="11FF4906" w:rsidR="007D0655" w:rsidRDefault="007D0655" w:rsidP="003C7C51">
      <w:r>
        <w:rPr>
          <w:noProof/>
        </w:rPr>
        <w:drawing>
          <wp:inline distT="0" distB="0" distL="0" distR="0" wp14:anchorId="6E0C7886" wp14:editId="58719932">
            <wp:extent cx="5400040" cy="3037840"/>
            <wp:effectExtent l="0" t="0" r="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6"/>
                    <a:stretch>
                      <a:fillRect/>
                    </a:stretch>
                  </pic:blipFill>
                  <pic:spPr>
                    <a:xfrm>
                      <a:off x="0" y="0"/>
                      <a:ext cx="5400040" cy="3037840"/>
                    </a:xfrm>
                    <a:prstGeom prst="rect">
                      <a:avLst/>
                    </a:prstGeom>
                  </pic:spPr>
                </pic:pic>
              </a:graphicData>
            </a:graphic>
          </wp:inline>
        </w:drawing>
      </w:r>
    </w:p>
    <w:p w14:paraId="09A11E96" w14:textId="3293167C" w:rsidR="007D0655" w:rsidRDefault="007D0655" w:rsidP="003C7C51"/>
    <w:p w14:paraId="4FD273A1" w14:textId="360A0619" w:rsidR="007D0655" w:rsidRDefault="007D0655" w:rsidP="003C7C51">
      <w:pPr>
        <w:rPr>
          <w:u w:val="single"/>
        </w:rPr>
      </w:pPr>
      <w:r w:rsidRPr="007D0655">
        <w:rPr>
          <w:u w:val="single"/>
        </w:rPr>
        <w:t>critique</w:t>
      </w:r>
    </w:p>
    <w:p w14:paraId="4DE64FB7" w14:textId="201F6E63" w:rsidR="007D0655" w:rsidRDefault="007D0655" w:rsidP="003C7C51">
      <w:r w:rsidRPr="007D0655">
        <w:t>“criticism/critique [term]”</w:t>
      </w:r>
    </w:p>
    <w:p w14:paraId="70DA9445" w14:textId="7DE258A7" w:rsidR="007D0655" w:rsidRPr="007D0655" w:rsidRDefault="007D0655" w:rsidP="007D0655">
      <w:r>
        <w:t>model your criticism of a concept on another scholar’s work</w:t>
      </w:r>
    </w:p>
    <w:p w14:paraId="3C40BA43" w14:textId="6F6FF833" w:rsidR="007D0655" w:rsidRDefault="007D0655" w:rsidP="003C7C51">
      <w:pPr>
        <w:rPr>
          <w:u w:val="single"/>
        </w:rPr>
      </w:pPr>
      <w:r>
        <w:rPr>
          <w:noProof/>
        </w:rPr>
        <w:drawing>
          <wp:inline distT="0" distB="0" distL="0" distR="0" wp14:anchorId="747318F0" wp14:editId="117D3FEE">
            <wp:extent cx="5400040" cy="3037840"/>
            <wp:effectExtent l="0" t="0" r="0"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7"/>
                    <a:stretch>
                      <a:fillRect/>
                    </a:stretch>
                  </pic:blipFill>
                  <pic:spPr>
                    <a:xfrm>
                      <a:off x="0" y="0"/>
                      <a:ext cx="5400040" cy="3037840"/>
                    </a:xfrm>
                    <a:prstGeom prst="rect">
                      <a:avLst/>
                    </a:prstGeom>
                  </pic:spPr>
                </pic:pic>
              </a:graphicData>
            </a:graphic>
          </wp:inline>
        </w:drawing>
      </w:r>
    </w:p>
    <w:p w14:paraId="3591AE58" w14:textId="06C969BA" w:rsidR="007D0655" w:rsidRDefault="007D0655" w:rsidP="003C7C51">
      <w:pPr>
        <w:rPr>
          <w:u w:val="single"/>
        </w:rPr>
      </w:pPr>
    </w:p>
    <w:p w14:paraId="77E9AB74" w14:textId="2D7F7E0F" w:rsidR="007D0655" w:rsidRDefault="0023614D" w:rsidP="003C7C51">
      <w:pPr>
        <w:rPr>
          <w:b/>
          <w:bCs/>
        </w:rPr>
      </w:pPr>
      <w:r w:rsidRPr="0023614D">
        <w:rPr>
          <w:b/>
          <w:bCs/>
        </w:rPr>
        <w:t xml:space="preserve">2. </w:t>
      </w:r>
      <w:r w:rsidR="007D0655" w:rsidRPr="0023614D">
        <w:rPr>
          <w:b/>
          <w:bCs/>
        </w:rPr>
        <w:t>worldcat.org</w:t>
      </w:r>
    </w:p>
    <w:p w14:paraId="0F13C045" w14:textId="03C3E119" w:rsidR="0023614D" w:rsidRDefault="0023614D" w:rsidP="003C7C51">
      <w:pPr>
        <w:rPr>
          <w:b/>
          <w:bCs/>
        </w:rPr>
      </w:pPr>
    </w:p>
    <w:p w14:paraId="0C9F413F" w14:textId="72352A62" w:rsidR="0023614D" w:rsidRDefault="0023614D" w:rsidP="003C7C51">
      <w:pPr>
        <w:rPr>
          <w:b/>
          <w:bCs/>
        </w:rPr>
      </w:pPr>
      <w:r>
        <w:rPr>
          <w:b/>
          <w:bCs/>
        </w:rPr>
        <w:t>3. Book reviews</w:t>
      </w:r>
    </w:p>
    <w:p w14:paraId="06CCCF01" w14:textId="5A375CB7" w:rsidR="00E86309" w:rsidRDefault="00E86309" w:rsidP="00E86309">
      <w:r w:rsidRPr="00E86309">
        <w:t>Birkbeck, catalogue</w:t>
      </w:r>
      <w:r w:rsidR="00A8525D">
        <w:t>, search for reviews</w:t>
      </w:r>
    </w:p>
    <w:p w14:paraId="4E79066E" w14:textId="77777777" w:rsidR="00A8525D" w:rsidRDefault="00A8525D" w:rsidP="00E86309"/>
    <w:p w14:paraId="18ECBF5C" w14:textId="094C7CA9" w:rsidR="00A8525D" w:rsidRDefault="00A8525D" w:rsidP="00E86309">
      <w:r>
        <w:t>Other scholar’s peer-reviewed critiques of Mintzberg:</w:t>
      </w:r>
    </w:p>
    <w:p w14:paraId="1B637F86" w14:textId="3FEA5E56" w:rsidR="00E86309" w:rsidRDefault="00E86309" w:rsidP="00E86309">
      <w:r>
        <w:rPr>
          <w:noProof/>
        </w:rPr>
        <w:drawing>
          <wp:inline distT="0" distB="0" distL="0" distR="0" wp14:anchorId="4280E395" wp14:editId="53B4A2C0">
            <wp:extent cx="5400040" cy="3037840"/>
            <wp:effectExtent l="0" t="0" r="0" b="0"/>
            <wp:docPr id="6"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Word&#10;&#10;Descripción generada automáticamente"/>
                    <pic:cNvPicPr/>
                  </pic:nvPicPr>
                  <pic:blipFill>
                    <a:blip r:embed="rId8"/>
                    <a:stretch>
                      <a:fillRect/>
                    </a:stretch>
                  </pic:blipFill>
                  <pic:spPr>
                    <a:xfrm>
                      <a:off x="0" y="0"/>
                      <a:ext cx="5400040" cy="3037840"/>
                    </a:xfrm>
                    <a:prstGeom prst="rect">
                      <a:avLst/>
                    </a:prstGeom>
                  </pic:spPr>
                </pic:pic>
              </a:graphicData>
            </a:graphic>
          </wp:inline>
        </w:drawing>
      </w:r>
    </w:p>
    <w:p w14:paraId="1D31EEEC" w14:textId="160F4F4A" w:rsidR="00A8525D" w:rsidRDefault="00A8525D" w:rsidP="00A8525D">
      <w:pPr>
        <w:pStyle w:val="Prrafodelista"/>
        <w:numPr>
          <w:ilvl w:val="0"/>
          <w:numId w:val="1"/>
        </w:numPr>
      </w:pPr>
      <w:r>
        <w:t>quote #2: synthesis/reading between the lines</w:t>
      </w:r>
    </w:p>
    <w:p w14:paraId="251F9A3A" w14:textId="77777777" w:rsidR="00A8525D" w:rsidRDefault="00A8525D" w:rsidP="00A8525D">
      <w:pPr>
        <w:pStyle w:val="Prrafodelista"/>
      </w:pPr>
    </w:p>
    <w:p w14:paraId="189FCF29" w14:textId="61E48B33" w:rsidR="00E86309" w:rsidRDefault="00A8525D" w:rsidP="00E86309">
      <w:r>
        <w:rPr>
          <w:noProof/>
        </w:rPr>
        <w:drawing>
          <wp:inline distT="0" distB="0" distL="0" distR="0" wp14:anchorId="52D62ACD" wp14:editId="28444EFF">
            <wp:extent cx="3993181" cy="2246400"/>
            <wp:effectExtent l="0" t="0" r="7620" b="1905"/>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9"/>
                    <a:stretch>
                      <a:fillRect/>
                    </a:stretch>
                  </pic:blipFill>
                  <pic:spPr>
                    <a:xfrm>
                      <a:off x="0" y="0"/>
                      <a:ext cx="3993181" cy="2246400"/>
                    </a:xfrm>
                    <a:prstGeom prst="rect">
                      <a:avLst/>
                    </a:prstGeom>
                  </pic:spPr>
                </pic:pic>
              </a:graphicData>
            </a:graphic>
          </wp:inline>
        </w:drawing>
      </w:r>
    </w:p>
    <w:p w14:paraId="17BD1040" w14:textId="2D559AC8" w:rsidR="00A8525D" w:rsidRDefault="00A8525D" w:rsidP="00A8525D">
      <w:pPr>
        <w:pStyle w:val="Prrafodelista"/>
        <w:numPr>
          <w:ilvl w:val="0"/>
          <w:numId w:val="1"/>
        </w:numPr>
      </w:pPr>
      <w:r>
        <w:t xml:space="preserve">quote #2: context </w:t>
      </w:r>
    </w:p>
    <w:p w14:paraId="22D6BB65" w14:textId="5E1A45D0" w:rsidR="00A8525D" w:rsidRDefault="00A8525D" w:rsidP="00E86309">
      <w:r>
        <w:rPr>
          <w:noProof/>
        </w:rPr>
        <w:drawing>
          <wp:inline distT="0" distB="0" distL="0" distR="0" wp14:anchorId="30F52AC9" wp14:editId="5594182C">
            <wp:extent cx="3993183" cy="2246400"/>
            <wp:effectExtent l="0" t="0" r="7620" b="190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0"/>
                    <a:stretch>
                      <a:fillRect/>
                    </a:stretch>
                  </pic:blipFill>
                  <pic:spPr>
                    <a:xfrm>
                      <a:off x="0" y="0"/>
                      <a:ext cx="3993183" cy="2246400"/>
                    </a:xfrm>
                    <a:prstGeom prst="rect">
                      <a:avLst/>
                    </a:prstGeom>
                  </pic:spPr>
                </pic:pic>
              </a:graphicData>
            </a:graphic>
          </wp:inline>
        </w:drawing>
      </w:r>
    </w:p>
    <w:p w14:paraId="76A314C4" w14:textId="42DBFF01" w:rsidR="00A8525D" w:rsidRDefault="00A8525D" w:rsidP="00A8525D"/>
    <w:p w14:paraId="0CD294F8" w14:textId="56571EDC" w:rsidR="00A8525D" w:rsidRDefault="00A8525D" w:rsidP="00A8525D">
      <w:r>
        <w:rPr>
          <w:noProof/>
        </w:rPr>
        <w:lastRenderedPageBreak/>
        <w:drawing>
          <wp:inline distT="0" distB="0" distL="0" distR="0" wp14:anchorId="62FEE27A" wp14:editId="5314A5F8">
            <wp:extent cx="5400040" cy="3037840"/>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1"/>
                    <a:stretch>
                      <a:fillRect/>
                    </a:stretch>
                  </pic:blipFill>
                  <pic:spPr>
                    <a:xfrm>
                      <a:off x="0" y="0"/>
                      <a:ext cx="5400040" cy="3037840"/>
                    </a:xfrm>
                    <a:prstGeom prst="rect">
                      <a:avLst/>
                    </a:prstGeom>
                  </pic:spPr>
                </pic:pic>
              </a:graphicData>
            </a:graphic>
          </wp:inline>
        </w:drawing>
      </w:r>
    </w:p>
    <w:p w14:paraId="6747B1FD" w14:textId="7050027B" w:rsidR="00A8525D" w:rsidRDefault="00A8525D" w:rsidP="00A8525D"/>
    <w:p w14:paraId="487C28E3" w14:textId="3AAF62D4" w:rsidR="00A8525D" w:rsidRDefault="00A8525D" w:rsidP="00A8525D">
      <w:pPr>
        <w:rPr>
          <w:b/>
          <w:bCs/>
        </w:rPr>
      </w:pPr>
      <w:r w:rsidRPr="00A8525D">
        <w:rPr>
          <w:b/>
          <w:bCs/>
        </w:rPr>
        <w:t>Overview of the literature on a topic</w:t>
      </w:r>
    </w:p>
    <w:p w14:paraId="756F30C2" w14:textId="77777777" w:rsidR="00A8525D" w:rsidRDefault="00A8525D" w:rsidP="00A8525D">
      <w:pPr>
        <w:rPr>
          <w:b/>
          <w:bCs/>
        </w:rPr>
      </w:pPr>
    </w:p>
    <w:p w14:paraId="354AFE90" w14:textId="0C17B19F" w:rsidR="00A8525D" w:rsidRDefault="00A8525D" w:rsidP="00A8525D">
      <w:pPr>
        <w:rPr>
          <w:b/>
          <w:bCs/>
        </w:rPr>
      </w:pPr>
      <w:r>
        <w:rPr>
          <w:b/>
          <w:bCs/>
        </w:rPr>
        <w:t>1. Ethos</w:t>
      </w:r>
    </w:p>
    <w:p w14:paraId="7B98F2BA" w14:textId="320D50CF" w:rsidR="00A8525D" w:rsidRDefault="001D3AF5" w:rsidP="00A8525D">
      <w:r w:rsidRPr="001D3AF5">
        <w:t>British Library’s online collection of PhD thesis</w:t>
      </w:r>
    </w:p>
    <w:p w14:paraId="568D5734" w14:textId="77777777" w:rsidR="001D3AF5" w:rsidRDefault="001D3AF5" w:rsidP="001D3AF5">
      <w:r>
        <w:t>Literature review: Use section from theses to get an overview of the literature</w:t>
      </w:r>
    </w:p>
    <w:p w14:paraId="43E1D291" w14:textId="18C6A6F6" w:rsidR="001D3AF5" w:rsidRDefault="001D3AF5" w:rsidP="00A8525D">
      <w:r>
        <w:t>Methods: Use methodology of doctorate student and adapt it (make reference to it)</w:t>
      </w:r>
    </w:p>
    <w:p w14:paraId="4AF3D094" w14:textId="42C10FE8" w:rsidR="001D3AF5" w:rsidRDefault="001D3AF5" w:rsidP="00A8525D"/>
    <w:p w14:paraId="49A46F46" w14:textId="39BEB466" w:rsidR="001D3AF5" w:rsidRDefault="001D3AF5" w:rsidP="00A8525D">
      <w:r>
        <w:rPr>
          <w:noProof/>
        </w:rPr>
        <w:drawing>
          <wp:inline distT="0" distB="0" distL="0" distR="0" wp14:anchorId="5670A9A6" wp14:editId="396423CA">
            <wp:extent cx="3993183" cy="2246400"/>
            <wp:effectExtent l="0" t="0" r="7620" b="190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12"/>
                    <a:stretch>
                      <a:fillRect/>
                    </a:stretch>
                  </pic:blipFill>
                  <pic:spPr>
                    <a:xfrm>
                      <a:off x="0" y="0"/>
                      <a:ext cx="3993183" cy="2246400"/>
                    </a:xfrm>
                    <a:prstGeom prst="rect">
                      <a:avLst/>
                    </a:prstGeom>
                  </pic:spPr>
                </pic:pic>
              </a:graphicData>
            </a:graphic>
          </wp:inline>
        </w:drawing>
      </w:r>
    </w:p>
    <w:p w14:paraId="641B8073" w14:textId="2CB3F71B" w:rsidR="001D3AF5" w:rsidRPr="001D3AF5" w:rsidRDefault="001D3AF5" w:rsidP="00A8525D">
      <w:r>
        <w:rPr>
          <w:noProof/>
        </w:rPr>
        <w:drawing>
          <wp:inline distT="0" distB="0" distL="0" distR="0" wp14:anchorId="0F1B9A0F" wp14:editId="5B5F2861">
            <wp:extent cx="3993183" cy="2246400"/>
            <wp:effectExtent l="0" t="0" r="7620" b="190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3"/>
                    <a:stretch>
                      <a:fillRect/>
                    </a:stretch>
                  </pic:blipFill>
                  <pic:spPr>
                    <a:xfrm>
                      <a:off x="0" y="0"/>
                      <a:ext cx="3993183" cy="2246400"/>
                    </a:xfrm>
                    <a:prstGeom prst="rect">
                      <a:avLst/>
                    </a:prstGeom>
                  </pic:spPr>
                </pic:pic>
              </a:graphicData>
            </a:graphic>
          </wp:inline>
        </w:drawing>
      </w:r>
    </w:p>
    <w:sectPr w:rsidR="001D3AF5" w:rsidRPr="001D3AF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9C6F84"/>
    <w:multiLevelType w:val="hybridMultilevel"/>
    <w:tmpl w:val="E0C4845A"/>
    <w:lvl w:ilvl="0" w:tplc="58E0E000">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C51"/>
    <w:rsid w:val="000030A5"/>
    <w:rsid w:val="00067B5B"/>
    <w:rsid w:val="00082DB0"/>
    <w:rsid w:val="00083768"/>
    <w:rsid w:val="000E276F"/>
    <w:rsid w:val="00120112"/>
    <w:rsid w:val="0012742B"/>
    <w:rsid w:val="00160AEB"/>
    <w:rsid w:val="00187A69"/>
    <w:rsid w:val="001924FB"/>
    <w:rsid w:val="00196160"/>
    <w:rsid w:val="001B26C0"/>
    <w:rsid w:val="001C2ADB"/>
    <w:rsid w:val="001D3AF5"/>
    <w:rsid w:val="002134E1"/>
    <w:rsid w:val="0023614D"/>
    <w:rsid w:val="00284E2C"/>
    <w:rsid w:val="002F205D"/>
    <w:rsid w:val="0034302E"/>
    <w:rsid w:val="00363BDF"/>
    <w:rsid w:val="00377D79"/>
    <w:rsid w:val="003A0BA1"/>
    <w:rsid w:val="003A768A"/>
    <w:rsid w:val="003B0009"/>
    <w:rsid w:val="003C7C51"/>
    <w:rsid w:val="0040052B"/>
    <w:rsid w:val="00404A57"/>
    <w:rsid w:val="00425894"/>
    <w:rsid w:val="004516AC"/>
    <w:rsid w:val="0045777F"/>
    <w:rsid w:val="00495F5F"/>
    <w:rsid w:val="004A5309"/>
    <w:rsid w:val="004E59B5"/>
    <w:rsid w:val="004F2415"/>
    <w:rsid w:val="00521AEA"/>
    <w:rsid w:val="005725F6"/>
    <w:rsid w:val="005B6582"/>
    <w:rsid w:val="005D7624"/>
    <w:rsid w:val="00612C96"/>
    <w:rsid w:val="00627947"/>
    <w:rsid w:val="006332CA"/>
    <w:rsid w:val="00646D42"/>
    <w:rsid w:val="00665DE7"/>
    <w:rsid w:val="006B7466"/>
    <w:rsid w:val="006D2FF2"/>
    <w:rsid w:val="0070503E"/>
    <w:rsid w:val="0071287C"/>
    <w:rsid w:val="00713372"/>
    <w:rsid w:val="007264AF"/>
    <w:rsid w:val="00735DE9"/>
    <w:rsid w:val="0074721D"/>
    <w:rsid w:val="00757AFE"/>
    <w:rsid w:val="00785468"/>
    <w:rsid w:val="00786943"/>
    <w:rsid w:val="00786A1E"/>
    <w:rsid w:val="00793EBA"/>
    <w:rsid w:val="007963F5"/>
    <w:rsid w:val="00796699"/>
    <w:rsid w:val="00796EC1"/>
    <w:rsid w:val="007D0655"/>
    <w:rsid w:val="007D46EB"/>
    <w:rsid w:val="0081446B"/>
    <w:rsid w:val="00814B68"/>
    <w:rsid w:val="00823D5D"/>
    <w:rsid w:val="008257DD"/>
    <w:rsid w:val="00837B31"/>
    <w:rsid w:val="0084098A"/>
    <w:rsid w:val="00851034"/>
    <w:rsid w:val="008B28A0"/>
    <w:rsid w:val="008C7103"/>
    <w:rsid w:val="008F05FD"/>
    <w:rsid w:val="00901952"/>
    <w:rsid w:val="009261F2"/>
    <w:rsid w:val="00943D6E"/>
    <w:rsid w:val="009A2BB5"/>
    <w:rsid w:val="009A5D6F"/>
    <w:rsid w:val="009C20B7"/>
    <w:rsid w:val="00A172E8"/>
    <w:rsid w:val="00A24AEB"/>
    <w:rsid w:val="00A30E46"/>
    <w:rsid w:val="00A348C1"/>
    <w:rsid w:val="00A34CC5"/>
    <w:rsid w:val="00A4000A"/>
    <w:rsid w:val="00A555F2"/>
    <w:rsid w:val="00A8444E"/>
    <w:rsid w:val="00A8525D"/>
    <w:rsid w:val="00B31F2C"/>
    <w:rsid w:val="00B967EA"/>
    <w:rsid w:val="00BA74D2"/>
    <w:rsid w:val="00BC16BA"/>
    <w:rsid w:val="00BC5640"/>
    <w:rsid w:val="00BF0FF4"/>
    <w:rsid w:val="00C16C68"/>
    <w:rsid w:val="00CB7989"/>
    <w:rsid w:val="00CC0C8A"/>
    <w:rsid w:val="00CF3568"/>
    <w:rsid w:val="00CF4268"/>
    <w:rsid w:val="00D01C7E"/>
    <w:rsid w:val="00D262A5"/>
    <w:rsid w:val="00D62362"/>
    <w:rsid w:val="00D626FA"/>
    <w:rsid w:val="00D71A66"/>
    <w:rsid w:val="00DC208E"/>
    <w:rsid w:val="00DD265C"/>
    <w:rsid w:val="00DE3339"/>
    <w:rsid w:val="00DF2160"/>
    <w:rsid w:val="00E10FCF"/>
    <w:rsid w:val="00E37FCB"/>
    <w:rsid w:val="00E64E10"/>
    <w:rsid w:val="00E730EE"/>
    <w:rsid w:val="00E773B1"/>
    <w:rsid w:val="00E86309"/>
    <w:rsid w:val="00EA6698"/>
    <w:rsid w:val="00EB1A03"/>
    <w:rsid w:val="00EF2AF7"/>
    <w:rsid w:val="00F73A7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90CB6"/>
  <w15:docId w15:val="{E8159510-F6E0-41B7-821B-4072A3C66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C51"/>
    <w:pPr>
      <w:widowControl w:val="0"/>
      <w:spacing w:after="0" w:line="240" w:lineRule="auto"/>
      <w:jc w:val="both"/>
    </w:pPr>
    <w:rPr>
      <w:rFonts w:eastAsiaTheme="minorEastAsia"/>
      <w:kern w:val="2"/>
      <w:sz w:val="21"/>
      <w:lang w:val="en-US" w:eastAsia="zh-CN"/>
    </w:rPr>
  </w:style>
  <w:style w:type="paragraph" w:styleId="Ttulo2">
    <w:name w:val="heading 2"/>
    <w:basedOn w:val="Normal"/>
    <w:next w:val="Normal"/>
    <w:link w:val="Ttulo2Car"/>
    <w:uiPriority w:val="9"/>
    <w:unhideWhenUsed/>
    <w:qFormat/>
    <w:rsid w:val="003C7C5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qFormat/>
    <w:rsid w:val="003C7C51"/>
    <w:rPr>
      <w:rFonts w:asciiTheme="majorHAnsi" w:eastAsiaTheme="majorEastAsia" w:hAnsiTheme="majorHAnsi" w:cstheme="majorBidi"/>
      <w:b/>
      <w:bCs/>
      <w:kern w:val="2"/>
      <w:sz w:val="32"/>
      <w:szCs w:val="32"/>
      <w:lang w:val="en-US" w:eastAsia="zh-CN"/>
    </w:rPr>
  </w:style>
  <w:style w:type="paragraph" w:styleId="Prrafodelista">
    <w:name w:val="List Paragraph"/>
    <w:basedOn w:val="Normal"/>
    <w:uiPriority w:val="34"/>
    <w:qFormat/>
    <w:rsid w:val="002361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0D1FA-FCD3-403D-9350-48DB67460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TotalTime>
  <Pages>4</Pages>
  <Words>622</Words>
  <Characters>3549</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Author</cp:lastModifiedBy>
  <cp:revision>1</cp:revision>
  <dcterms:created xsi:type="dcterms:W3CDTF">2022-01-28T11:23:00Z</dcterms:created>
  <dcterms:modified xsi:type="dcterms:W3CDTF">2022-02-03T00:12:00Z</dcterms:modified>
</cp:coreProperties>
</file>